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800"/>
        <w:jc w:val="left"/>
      </w:pPr>
      <w:r>
        <w:rPr>
          <w:rFonts w:ascii="Calibri" w:cs="Calibri" w:eastAsia="Calibri" w:hAnsi="Calibri"/>
          <w:b/>
          <w:bCs/>
          <w:color w:val="e94560"/>
          <w:spacing w:val="80"/>
          <w:sz w:val="22"/>
          <w:szCs w:val="22"/>
        </w:rPr>
        <w:t xml:space="preserve">KAIZEN AI LAB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2e"/>
          <w:sz w:val="60"/>
          <w:szCs w:val="60"/>
        </w:rPr>
        <w:t xml:space="preserve">Bi-Weekly Client</w:t>
      </w:r>
    </w:p>
    <w:p>
      <w:pPr>
        <w:spacing w:after="200" w:before="0"/>
      </w:pPr>
      <w:r>
        <w:rPr>
          <w:rFonts w:ascii="Calibri" w:cs="Calibri" w:eastAsia="Calibri" w:hAnsi="Calibri"/>
          <w:b/>
          <w:bCs/>
          <w:color w:val="1a1a2e"/>
          <w:sz w:val="60"/>
          <w:szCs w:val="60"/>
        </w:rPr>
        <w:t xml:space="preserve">SEO / GEO Monitoring Checklist</w:t>
      </w:r>
    </w:p>
    <w:p>
      <w:pPr>
        <w:spacing w:after="80" w:before="200"/>
      </w:pPr>
      <w:r>
        <w:rPr>
          <w:rFonts w:ascii="Calibri" w:cs="Calibri" w:eastAsia="Calibri" w:hAnsi="Calibri"/>
          <w:i/>
          <w:iCs/>
          <w:color w:val="6b6b7b"/>
          <w:sz w:val="26"/>
          <w:szCs w:val="26"/>
        </w:rPr>
        <w:t xml:space="preserve">A structured 14-day cadence for tracking organic search and AI-citation health across active client engagements.</w:t>
      </w:r>
    </w:p>
    <w:p>
      <w:pPr>
        <w:spacing w:after="0" w:before="120"/>
      </w:pPr>
    </w:p>
    <w:p>
      <w:pPr>
        <w:spacing w:after="0" w:before="120"/>
      </w:pPr>
    </w:p>
    <w:p>
      <w:pPr>
        <w:pBdr>
          <w:top w:val="single" w:color="e94560" w:sz="18" w:space="4"/>
        </w:pBdr>
        <w:spacing w:after="60" w:before="600"/>
      </w:pPr>
    </w:p>
    <w:p>
      <w:pPr>
        <w:spacing w:after="80" w:before="80" w:line="32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a1a2e"/>
          <w:sz w:val="22"/>
          <w:szCs w:val="22"/>
        </w:rPr>
        <w:t xml:space="preserve">Version 3.0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d2d3a"/>
          <w:sz w:val="22"/>
          <w:szCs w:val="22"/>
        </w:rPr>
        <w:t xml:space="preserve">Released: June 2026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d2d3a"/>
          <w:sz w:val="22"/>
          <w:szCs w:val="22"/>
        </w:rPr>
        <w:t xml:space="preserve">Maintained by: Kaizen AI Lab — SEO/GEO Practice</w:t>
      </w:r>
    </w:p>
    <w:p>
      <w:pPr>
        <w:spacing w:after="0" w:before="120"/>
      </w:pP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Every cell, button, and bullet on this list maps back to the v3 Audit Framework. The audit is point-in-time. This checklist is the rhythm that keeps the audit honest between cycles.</w:t>
      </w:r>
    </w:p>
    <w:p>
      <w:r>
        <w:br w:type="page"/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How to Use This Checklist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d2d3a"/>
          <w:sz w:val="22"/>
          <w:szCs w:val="22"/>
        </w:rPr>
        <w:t xml:space="preserve">This document is a 14-day recurring monitoring routine for every active SEO/GEO client. It is not the same as the v3 Audit, which is a quarterly deep-dive. The audit answers "where do we stand?" The checklist answers "what changed since two weeks ago, and what needs attention before next week?"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Cadence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When: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Run every other Monday morning (or first business day of the cycle).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Duration: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Allocate 60–90 minutes per client. Larger / multi-location accounts may run 2 hours.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Output: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Document findings as a dated note in the client folder. Surface anything urgent in the client channel within 24 hours.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Quarterly: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Re-run a full v3 Audit every 90 days. The bi-weekly checklist feeds into the next audit cycle.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What Each Section Covers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Section 1–8: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Eight sections, one per v3 audit pillar.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Section 9 (Safeguards):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Cross-cutting safeguards every auditor must verify regardless of pillar.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Section 10 (Closeout):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Tooling, reporting, and escalation criteria.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Appendices: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Light-weight reference templates used during the run.</w:t>
      </w:r>
    </w:p>
    <w:p>
      <w:pPr>
        <w:spacing w:after="0" w:before="120"/>
      </w:pPr>
    </w:p>
    <w:p>
      <w:pPr>
        <w:shd w:fill="f8f9fc" w:val="clear"/>
        <w:spacing w:after="80" w:before="80" w:line="300"/>
        <w:ind w:left="200" w:right="200"/>
      </w:pPr>
      <w:r>
        <w:rPr>
          <w:rFonts w:ascii="Calibri" w:cs="Calibri" w:eastAsia="Calibri" w:hAnsi="Calibri"/>
          <w:b/>
          <w:bCs/>
          <w:color w:val="e94560"/>
          <w:sz w:val="20"/>
          <w:szCs w:val="20"/>
        </w:rPr>
        <w:t xml:space="preserve">Standing rule: </w:t>
      </w:r>
      <w:r>
        <w:rPr>
          <w:rFonts w:ascii="Calibri" w:cs="Calibri" w:eastAsia="Calibri" w:hAnsi="Calibri"/>
          <w:i/>
          <w:iCs/>
          <w:color w:val="2d2d3a"/>
          <w:sz w:val="20"/>
          <w:szCs w:val="20"/>
        </w:rPr>
        <w:t xml:space="preserve">Score the work, not the brand. Letter grades are computed from numerical scores on the standard academic scale (A 90+, B 80–89, C 70–79, D 60–69, F &lt;60). No qualitative override.</w:t>
      </w:r>
    </w:p>
    <w:p>
      <w:pPr>
        <w:shd w:fill="f8f9fc" w:val="clear"/>
        <w:spacing w:after="80" w:before="80" w:line="300"/>
        <w:ind w:left="200" w:right="200"/>
      </w:pPr>
      <w:r>
        <w:rPr>
          <w:rFonts w:ascii="Calibri" w:cs="Calibri" w:eastAsia="Calibri" w:hAnsi="Calibri"/>
          <w:b/>
          <w:bCs/>
          <w:color w:val="e94560"/>
          <w:sz w:val="20"/>
          <w:szCs w:val="20"/>
        </w:rPr>
        <w:t xml:space="preserve">Standing rule: </w:t>
      </w:r>
      <w:r>
        <w:rPr>
          <w:rFonts w:ascii="Calibri" w:cs="Calibri" w:eastAsia="Calibri" w:hAnsi="Calibri"/>
          <w:i/>
          <w:iCs/>
          <w:color w:val="2d2d3a"/>
          <w:sz w:val="20"/>
          <w:szCs w:val="20"/>
        </w:rPr>
        <w:t xml:space="preserve">Verify every shared URL in a real browser before posting it to a client channel. The generator can lie. The parsed DOM is the source of truth.</w:t>
      </w:r>
    </w:p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SECTION 1 · AUDIT PILLAR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On-Page SEO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Title tags, meta descriptions, heading hierarchy, content depth, internal linking, and image SEO across all priority pages.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Title Tags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Homepage title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Verify it leads with primary keyword + brand. Length ≤ 60 chars. No domain-name-as-title (e.g. "ClientName.com"). Confirm via curl, not just CMS preview.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Title pattern audit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Sample 10 priority pages; flag any title &gt; 60 chars or missing a primary keyword.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Brand suffix consistency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All titles use the same separator (pipe, dash, em dash). Common drift point.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Geo-modifier check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local/multi-location clients, all location-relevant titles include city or region.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Meta Descriptions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Length check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Sample 10 priority pages; flag any description &gt; 160 chars or missing entirely.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Front-load value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Confirm the first 120 chars contain the primary keyword + a benefit hook.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Duplicate detection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Two pages with identical meta descriptions = at least one is wrong. Audit collections vs. homepage.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Heading Hierarchy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One H1 per page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Confirm priority pages each carry exactly one H1, with primary keyword.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H2 depth on long content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Pages &gt; 1,000 words should carry ≥ 4 H2s. Flag thin-outline pages.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No skipped levels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H1 → H3 with no H2 is a structural smell. Audit blog posts and pillar pages.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Content Depth &amp; Freshness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Word-count baseline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Homepage ≥ 600 substantive words. Service / category pages ≥ 800. Pillar content ≥ 1,500.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dateModified accuracy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Sample 5 evergreen pages; flag any whose visible date contradicts their actual content edit history.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Stale content register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List any page not updated in &gt; 12 months. Decide: refresh, consolidate, or noindex.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New publish review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Cross-check the last 14 days of publishes against the editorial plan. Surface unintended gaps.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Internal Linking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Hub coverage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Pillar pages link out to ≥ 5 spokes. Spokes link back to pillar. Audit one pillar per cycle.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Orphan check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Run sitemap vs. internal-link graph; flag any indexed URL with zero internal inlinks.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Cross-cluster bridges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multi-topic clients, audit whether adjacent clusters cross-link contextually.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Image SEO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Alt-text coverage %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Sample 50+ images; compute coverage % and flag missing-alt critical images (logos, attorney/founder photos, awards).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Filename hygiene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Generic filenames (image1.png, Picture3.jpg) on critical assets get renamed.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Modern format adoption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WebP / AVIF served via srcset wherever the CMS supports it.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CWV impact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Hero image is preloaded; non-critical imagery is lazy-loaded.</w:t>
      </w:r>
    </w:p>
    <w:p>
      <w:pPr>
        <w:spacing w:after="0" w:before="120"/>
      </w:pPr>
    </w:p>
    <w:p>
      <w:pPr>
        <w:shd w:fill="f8f9fc" w:val="clear"/>
        <w:spacing w:after="80" w:before="80" w:line="300"/>
        <w:ind w:left="200" w:right="200"/>
      </w:pPr>
      <w:r>
        <w:rPr>
          <w:rFonts w:ascii="Calibri" w:cs="Calibri" w:eastAsia="Calibri" w:hAnsi="Calibri"/>
          <w:b/>
          <w:bCs/>
          <w:color w:val="e94560"/>
          <w:sz w:val="20"/>
          <w:szCs w:val="20"/>
        </w:rPr>
        <w:t xml:space="preserve">Watch list: </w:t>
      </w:r>
      <w:r>
        <w:rPr>
          <w:rFonts w:ascii="Calibri" w:cs="Calibri" w:eastAsia="Calibri" w:hAnsi="Calibri"/>
          <w:i/>
          <w:iCs/>
          <w:color w:val="2d2d3a"/>
          <w:sz w:val="20"/>
          <w:szCs w:val="20"/>
        </w:rPr>
        <w:t xml:space="preserve">Empty / domain-name-only / "Home" titles. Any change in CMS template defaults can re-introduce these.</w:t>
      </w:r>
    </w:p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SECTION 2 · AUDIT PILLAR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Schema / AEO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Structured data coverage, validity, and entity-graph health across all priority page types.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Schema Coverage Sweep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Organization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Present on homepage with `name`, `legalName`, `url`, `logo`, `sameAs` (≥ 3), `contactPoint`, `address`, `foundingDate`.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WebSite + SearchAction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Present on homepage. SearchAction `target` resolves to a working internal search.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BreadcrumbList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Present sitewide. URLs in items match canonical URLs.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Industry-specific business type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LocalBusiness / LegalService / MedicalBusiness / EducationalOrganization / RealEstateAgent / FlightSchool / etc., per client vertical.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Product / ProductGroup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e-commerce: every SKU carries Product schema with Offer, price, availability, brand.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AggregateRating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Anywhere first-party reviews exist on-page, the rating is encoded.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Review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Individual reviews on product / location / service pages carry Review schema with author and reviewBody.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FAQPage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Every page with a FAQ block carries FAQPage. Coverage % computed against the FAQ-block inventory.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Person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Founders, attorneys, instructors, doctors, named farmers — anyone with on-site authority — carries Person schema with sameAs to public profiles.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Article / BlogPosting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Every blog post carries Article with author, datePublished, dateModified, image, publisher.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Service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Service / practice-area / program pages carry Service schema with provider, areaServed, audience.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Course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Educational / certification pages carry Course schema with provider, hasCourseInstance, timeRequired.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Event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Bookable experiences (discovery flights, classes, consultations) carry Event or Service+Offer with `potentialAction`.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VideoObject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Embedded videos carry VideoObject with name, description, thumbnailUrl, uploadDate, duration.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SpeakableSpecification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FAQ answers and key product / service descriptions are marked speakable.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Schema Validity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Rich Results Test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Run Google Rich Results Test on: homepage, one product/service page, one location page, FAQ page. Zero errors. Warnings reviewed.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Schema.org validator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Run on the same set. Catch issues Google ignores but other engines respect.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@id collisions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No two distinct entities share an @id. Common drift point on templates copied across pages.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Empty / placeholder properties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Audit for empty strings, "TBD", or fallback values in published schema.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Entity-Graph Health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sameAs density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Organization sameAs links to ≥ 3 authoritative profiles (Wikipedia / Wikidata / Crunchbase / Apple Business / Bing Places / official socials).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Knowledge panel accuracy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Google Knowledge Panel data matches Organization schema. Submit corrections through Suggest an Edit if drifted.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Wikidata entity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Confirm Wikidata entry exists. If missing and brand qualifies, schedule creation.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NAP consistency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Name / Address / Phone identical across website, GBP, BBB, Yelp, Apple Business Connect, Bing Places, and major industry directories.</w:t>
      </w:r>
    </w:p>
    <w:p>
      <w:pPr>
        <w:spacing w:after="0" w:before="120"/>
      </w:pPr>
    </w:p>
    <w:p>
      <w:pPr>
        <w:shd w:fill="f8f9fc" w:val="clear"/>
        <w:spacing w:after="80" w:before="80" w:line="300"/>
        <w:ind w:left="200" w:right="200"/>
      </w:pPr>
      <w:r>
        <w:rPr>
          <w:rFonts w:ascii="Calibri" w:cs="Calibri" w:eastAsia="Calibri" w:hAnsi="Calibri"/>
          <w:b/>
          <w:bCs/>
          <w:color w:val="e94560"/>
          <w:sz w:val="20"/>
          <w:szCs w:val="20"/>
        </w:rPr>
        <w:t xml:space="preserve">Watch list: </w:t>
      </w:r>
      <w:r>
        <w:rPr>
          <w:rFonts w:ascii="Calibri" w:cs="Calibri" w:eastAsia="Calibri" w:hAnsi="Calibri"/>
          <w:i/>
          <w:iCs/>
          <w:color w:val="2d2d3a"/>
          <w:sz w:val="20"/>
          <w:szCs w:val="20"/>
        </w:rPr>
        <w:t xml:space="preserve">Article/Person schema attributing content to a CMS user instead of the named founder (the "Mybiz Mybiz" failure on Tatum). Audit `author.name` on all blog posts.</w:t>
      </w:r>
    </w:p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SECTION 3 · AUDIT PILLAR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Technical Health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Crawlability, indexability, security headers, Core Web Vitals, and infrastructure hygiene.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Crawlability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robots.txt review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No accidental disallows on priority paths. AI crawler directives (GPTBot, ClaudeBot, PerplexityBot, OAI-SearchBot, Applebot-Extended) present and explicit. Training-only crawlers (CCBot, Google-Extended, Bytespider) optionally blocked.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Content-Signal header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Present with intentional values (search=yes,ai-input=yes,ai-train=no/yes per client policy).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llms.txt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Present at root. Contains brand summary, top pages, FAQ excerpts, policy URLs.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agents.md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Shopify (or any UCP-enabled platform): confirm /agents.md, /.well-known/ucp, /api/ucp/mcp resolve.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Sitemap inventory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sitemap-index.xml lives at root. All sub-sitemaps return 200 and contain only canonical URLs.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Sitemap freshness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lastmod dates reflect actual content changes. Stale lastmod is a quality signal degrade.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WAF / bot probe (6 UAs)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Test with Chrome, Googlebot, Bingbot, ChatGPT-User, ClaudeBot, PerplexityBot. All should return 200. Anything else is P0.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Indexability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Index coverage diff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Compare GSC Indexed Pages count vs. last cycle. Investigate any drop &gt; 5% or unexplained surge.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Canonical sweep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Sample 10 priority pages; confirm self-referencing canonicals or correct canonical targets.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Noindex audit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Confirm intended pages (thank-you, login, cart) are noindexed and unintended pages are not.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Soft 404 watch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GSC &gt; Index &gt; Pages &gt; "Soft 404" filter; investigate any new entries.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Duplicate URL audit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Trailing-slash / www-vs-non-www / case sensitivity / locale-prefix variants serve consistent canonicals.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Security &amp; Protocol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HSTS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Strict-Transport-Security header present with max-age ≥ 6 months.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CSP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Content-Security-Policy declared (not necessarily strict; documented decision).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X-Frame-Options / X-Content-Type-Options / Referrer-Policy / Permissions-Policy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All present with deliberate values.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HTTP/2 or HTTP/3 active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Verify via curl. Drop to HTTP/1.1 is a perf and trust regression.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SSL certificate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Expiry &gt; 60 days. Chain valid. No mixed content warnings.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Core Web Vitals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LCP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≤ 2.5s at 75th percentile (CrUX or PSI). Flag any URL group exceeding.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INP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≤ 200ms at 75th percentile. Flag any URL group exceeding.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CLS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≤ 0.1 at 75th percentile.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Field vs lab data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If CrUX data is unavailable (low-traffic domain), use lab PSI plus a note about the limitation.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Regression hunt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Compare against previous cycle. Investigate any pillar dropping &gt; 10 points.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Hosting &amp; Infrastructure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CDN hit rate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Cloudflare / similar — investigate any decline in cache-hit ratio.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TTFB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Sample 5 priority URLs; flag any TTFB &gt; 800ms.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Origin error rate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5xx errors &gt; baseline = investigate.</w:t>
      </w:r>
    </w:p>
    <w:p>
      <w:pPr>
        <w:spacing w:after="0" w:before="120"/>
      </w:pPr>
    </w:p>
    <w:p>
      <w:pPr>
        <w:shd w:fill="f8f9fc" w:val="clear"/>
        <w:spacing w:after="80" w:before="80" w:line="300"/>
        <w:ind w:left="200" w:right="200"/>
      </w:pPr>
      <w:r>
        <w:rPr>
          <w:rFonts w:ascii="Calibri" w:cs="Calibri" w:eastAsia="Calibri" w:hAnsi="Calibri"/>
          <w:b/>
          <w:bCs/>
          <w:color w:val="e94560"/>
          <w:sz w:val="20"/>
          <w:szCs w:val="20"/>
        </w:rPr>
        <w:t xml:space="preserve">Watch list: </w:t>
      </w:r>
      <w:r>
        <w:rPr>
          <w:rFonts w:ascii="Calibri" w:cs="Calibri" w:eastAsia="Calibri" w:hAnsi="Calibri"/>
          <w:i/>
          <w:iCs/>
          <w:color w:val="2d2d3a"/>
          <w:sz w:val="20"/>
          <w:szCs w:val="20"/>
        </w:rPr>
        <w:t xml:space="preserve">SiteGround captcha responses serving x-robots-tag: noindex to non-allowlisted bots. The exact pattern that may be deindexing Tatum content from AI crawlers.</w:t>
      </w:r>
    </w:p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SECTION 4 · AUDIT PILLAR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Content Depth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Editorial velocity, content gap closure, evergreen freshness, and topical authority maintenance.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Publishing Cadence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Posts published this cycle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Count against the editorial plan. Net behind &gt; 2 = surface to client.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Pillar pages updated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At least one pillar page reviewed for freshness per cycle.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Topic-cluster expansion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New blog posts tagged to existing clusters; standalone posts get re-homed.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Editorial Quality Bar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Voice consistency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New content matches client brand voice (per /data/workspace/EDITORIAL-RULES.md). No AI cadence drift, no em dash spam, no cheerleading.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Sourced claims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Statistics, dates, regulatory references carry inline citation links.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Internal linking density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New posts link to ≥ 3 existing pages and are linked from ≥ 2 existing pages within 14 days of publish.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CTA inclusion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Every new post includes the agreed primary CTA (consult, demo, calculator, etc.).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Content Gaps vs. Competitors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Competitor publish tracking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top 3 competitors: any new pillar page or service expansion in the last 14 days = note for content brief.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SERP overlap drift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Compare keyword-rank overlap with closest competitor. New gaps = brief required.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AI-answer competitor mentions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Run 5 AEO probes (see Section 7). Note any new competitor surfaced for our money keywords.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Evergreen Hygiene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Top-10-traffic pages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Pull top 10 organic landing pages. Confirm each has been reviewed within the last 6 months. Schedule refresh for any &gt; 12 months.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High-CTR low-conversion pages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Identify and brief a hero/CTA refresh.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Cannibalization watch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Two URLs ranking for the same money keyword = consolidate.</w:t>
      </w:r>
    </w:p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SECTION 5 · AUDIT PILLAR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Multi-Location &amp; Internationalization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Local SEO surfaces, GBP health, locale variants, and hreflang correctness.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Google Business Profile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Posting cadence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≥ 1 post per location per cycle. Photo refresh quarterly.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Q&amp;A review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Answer any unanswered questions on each location. Flag any answer requiring legal review.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Review velocity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Compare new reviews vs. last cycle. &lt; 2 new on the primary location = surface to client.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Review response SLA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All new reviews (positive or negative) responded to within 7 days.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NAP drift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Verify name, address, phone, hours, services list are unchanged. Investigate any silent edits.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Photo geo-tags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brick-and-mortar: confirm photos still uploading and geotagged correctly.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Local Citations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Top-10 directory NAP audit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Confirm Apple Business Connect, Bing Places, Yelp, BBB, Facebook, Justia/Avvo/Healthgrades (per vertical) all match the canonical NAP.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Local press monitoring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Set alerts for [Brand] + [City]. Surface any new mention or link opportunity.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Multi-Language / hreflang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hreflang round-trip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multi-locale sites: every language pair declares the other. Validate via Search Console &gt; International Targeting.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Translation freshness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Locale variants are no older than 30 days behind the default. Surface stale-translation backlog.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Currency / pricing display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Locale-aware pricing renders correctly. Empty / fallback locale display is a trust regression.</w:t>
      </w:r>
    </w:p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SECTION 6 · AUDIT PILLAR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E-E-A-T (Experience, Expertise, Authoritativeness, Trustworthiness)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Identity, credentials, named authors, citations, and trust signals.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Author Identity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Bylines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Every blog post bylined to a named human (not the brand, not "Admin", not the SEO agency user). Person schema present on author bio page.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Author bios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Each author bio carries credentials, links to professional profiles (LinkedIn, ORCID, bar number, license), and a sameAs to their Wikipedia / Wikidata if they qualify.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Editorial policy page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Public editorial standards, fact-checking commitment, correction policy.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Credentials &amp; Awards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Award schema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Industry awards (AOPA, Super Lawyers, Best of, etc.) encoded as `award` on Organization or Person.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License / certification display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Bar admissions, FAA certs, medical board certs, etc. visible on bio pages.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Press / media mentions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Each media appearance linked from the bio page with `subjectOf` schema. Logo grid on homepage stays current.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Reviews &amp; Trust Signals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Review aggregation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Total review count and average rating displayed on homepage / location pages with AggregateRating schema.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Trust badges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BBB accreditation, industry memberships, certifications displayed with link to verification.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Refund / guarantee policy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Clear, accessible from any product or service page. Schema-encoded where applicable.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Content Authority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Citations to primary sources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Regulatory, scientific, statutory references link to .gov / .edu / official primary sources.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Original research surface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Any client-produced original data or survey content is published with proper attribution and ScholarlyArticle / Dataset schema if appropriate.</w:t>
      </w:r>
    </w:p>
    <w:p>
      <w:pPr>
        <w:spacing w:after="0" w:before="120"/>
      </w:pPr>
    </w:p>
    <w:p>
      <w:pPr>
        <w:shd w:fill="f8f9fc" w:val="clear"/>
        <w:spacing w:after="80" w:before="80" w:line="300"/>
        <w:ind w:left="200" w:right="200"/>
      </w:pPr>
      <w:r>
        <w:rPr>
          <w:rFonts w:ascii="Calibri" w:cs="Calibri" w:eastAsia="Calibri" w:hAnsi="Calibri"/>
          <w:b/>
          <w:bCs/>
          <w:color w:val="e94560"/>
          <w:sz w:val="20"/>
          <w:szCs w:val="20"/>
        </w:rPr>
        <w:t xml:space="preserve">Watch list: </w:t>
      </w:r>
      <w:r>
        <w:rPr>
          <w:rFonts w:ascii="Calibri" w:cs="Calibri" w:eastAsia="Calibri" w:hAnsi="Calibri"/>
          <w:i/>
          <w:iCs/>
          <w:color w:val="2d2d3a"/>
          <w:sz w:val="20"/>
          <w:szCs w:val="20"/>
        </w:rPr>
        <w:t xml:space="preserve">Brand-new domain authority gap. When auditing a recently-rebranded or relaunched site, separately measure AEO citations referencing the new domain vs. the entity name alone. Entity-only citations on a new domain are training-data echoes, not site authority.</w:t>
      </w:r>
    </w:p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SECTION 7 · AUDIT PILLAR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AI Search Visibility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Live AEO citation testing, knowledge-graph signal, and machine-readability of brand claims.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Live AI Citation Tests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8 prompts × 3 engines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Run the standing prompt set (or refresh per Section 7 appendix) through ChatGPT, Perplexity, and Google AI Overviews. Document cited/not-cited and competitor surfaced.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New-domain anchor test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rebranded clients: explicitly check whether the new domain URL appears in grounding, vs. entity-only mention.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Competitor citation drift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Note any new competitor that displaces our brand in the citation slot.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Voice-search probe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Test 3 voice-style queries via Siri / Google Assistant / Alexa to confirm featured snippet eligibility.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Machine-Readable Frame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Top-three brand claims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Confirm the brand's three highest-leverage claims still appear in body copy AND schema AND have linked proof. (Phase 13 CFP framework.)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Bridge integrity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each claim, confirm the logical bridge (A + B → J) is still readable as strict logic, not marketing prose.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Entity-home page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About / leadership page anchors the canonical version of each frame and has not drifted.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Knowledge Graph Signals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Wikipedia / Wikidata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If applicable, verify article still exists and reflects current state. Submit corrections if drifted.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Google Knowledge Panel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Re-check accuracy. Note any "owned" status / claim status.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sameAs network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Confirm every linked profile still resolves and still belongs to the brand.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AEO Infrastructure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llms.txt freshness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Brand summary, product list, pricing anchors current within 30 days.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agents.md / UCP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Shopify and other UCP-enabled stacks: endpoints respond. /.well-known/ucp version current.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Schema-to-content drift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No schema property now contradicts on-page content (e.g. price, hours, address, founding date).</w:t>
      </w:r>
    </w:p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SECTION 8 · AUDIT PILLAR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Image &amp; Media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Image SEO, video schema, accessibility, and rich-media discoverability.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Image Pipeline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Alt-text coverage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Sample 100 images sitewide; coverage %. Target ≥ 95%.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Decorative vs. content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Decorative images carry empty alt="" intentionally; content images have descriptive alt.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EXIF / geo cleanup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No accidental geo-location EXIF on user-facing images.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Image sitemap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If applicable, image sitemap referenced and current.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Video &amp; Audio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VideoObject schema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Every embedded video carries VideoObject. uploadDate, duration, thumbnailUrl present.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Transcript availability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Long-form video has a transcript or summary on-page.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PodcastSeries / PodcastEpisode schema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client podcasts: confirm schema is current per episode.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Captioning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Hosted video has captions (accessibility + SEO).</w:t>
      </w: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Accessibility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Contrast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Run automated check on any new templates or design changes.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Keyboard navigability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Tab through priority page flows. Surface any focus-trap or skip-link gap.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b/>
          <w:bCs/>
          <w:color w:val="2d2d3a"/>
          <w:sz w:val="22"/>
          <w:szCs w:val="22"/>
        </w:rPr>
        <w:t xml:space="preserve">Form accessibility —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Forms have labeled inputs and ARIA where needed.</w:t>
      </w:r>
    </w:p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SECTION 9 · CROSS-CUTTING SAFEGUARDS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Safeguards Every Auditor Verifies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These checks apply regardless of pillar. They protect the audit's credibility and the client relationship.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Verification Discipline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Every audit URL loaded in a real browser before being shared with the client.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Parsed DOM inspected (document.querySelectorAll count, content children count). Served HTML alone is not enough.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Generator output ≠ verified output. The pipeline can render the wrong content without throwing.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Scoring Discipline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Numerical scores reflect the work done, not the brand's potential.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Letter grades computed from the standard academic scale. No qualitative override.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For new domains housing established brands, AEO citations separated by new-domain-URL vs. entity-only mention.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Confidentiality &amp; Channel Discipline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Client deliverables go to the agreed review channel first (e.g. #seo-geo). Never directly to the client without internal sign-off.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Audit URLs use predictable client slugs. Never expose internal project numbers, SKUs, or client identifiers in the URL slug.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No Dr. Strange / Sebastian / other internal-auditor identifiers in the rendered report unless specifically requested.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Data Hygiene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Schema validates clean on Google Rich Results Test. Any error or warning resolved or documented.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All audit findings saved to /data/workspace/clients/&lt;client&gt;/audit-v3/ with dated filenames.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Cloudflare deploys always use --branch=main --commit-dirty=true. Project names lowercase + hyphens only.</w:t>
      </w:r>
    </w:p>
    <w:p>
      <w:pPr>
        <w:spacing w:after="0" w:before="120"/>
      </w:pPr>
    </w:p>
    <w:p>
      <w:pPr>
        <w:shd w:fill="f8f9fc" w:val="clear"/>
        <w:spacing w:after="80" w:before="80" w:line="300"/>
        <w:ind w:left="200" w:right="200"/>
      </w:pPr>
      <w:r>
        <w:rPr>
          <w:rFonts w:ascii="Calibri" w:cs="Calibri" w:eastAsia="Calibri" w:hAnsi="Calibri"/>
          <w:b/>
          <w:bCs/>
          <w:color w:val="e94560"/>
          <w:sz w:val="20"/>
          <w:szCs w:val="20"/>
        </w:rPr>
        <w:t xml:space="preserve">Standing rule: </w:t>
      </w:r>
      <w:r>
        <w:rPr>
          <w:rFonts w:ascii="Calibri" w:cs="Calibri" w:eastAsia="Calibri" w:hAnsi="Calibri"/>
          <w:i/>
          <w:iCs/>
          <w:color w:val="2d2d3a"/>
          <w:sz w:val="20"/>
          <w:szCs w:val="20"/>
        </w:rPr>
        <w:t xml:space="preserve">Three failures in 72 hours (entity-vs-domain conflation, letter-grade inflation, shipped-without-verification) all traced to the same root: shipping confidence without checking. The safeguards above are designed to break that loop.</w:t>
      </w:r>
    </w:p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SECTION 10 · CLOSEOUT &amp; ESCALATION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Run Closeout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How to finish the cycle, report findings, and trigger escalation.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Documentation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Dated note saved to /data/workspace/clients/&lt;client&gt;/biweekly/&lt;YYYY-MM-DD&gt;-checklist.md.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Findings ranked: P0 (within 24h), P1 (within 7 days), P2 (next cycle), P3 (backlog).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All numbers (rank deltas, schema coverage %, citation rate %) compared to prior cycle.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Client Reporting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Summary posted to the agreed client channel within 24 hours of completion.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Top 3 wins ready-to-action listed first. Top 3 risks listed second. Full detail below.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Any pending decisions tagged @client with a clear ask and a 7-day deadline.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Escalation Triggers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Any one of the following triggers escalation to the client lead within the same business day: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color w:val="2d2d3a"/>
          <w:sz w:val="22"/>
          <w:szCs w:val="22"/>
        </w:rPr>
        <w:t xml:space="preserve">P0 issue (WAF deindex, Googlebot 403, broken canonical sitewide, schema removed from priority pages).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color w:val="2d2d3a"/>
          <w:sz w:val="22"/>
          <w:szCs w:val="22"/>
        </w:rPr>
        <w:t xml:space="preserve">Organic traffic drop &gt; 15% week-over-week with no known content change.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color w:val="2d2d3a"/>
          <w:sz w:val="22"/>
          <w:szCs w:val="22"/>
        </w:rPr>
        <w:t xml:space="preserve">GBP suspension or impersonation listing detected.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color w:val="2d2d3a"/>
          <w:sz w:val="22"/>
          <w:szCs w:val="22"/>
        </w:rPr>
        <w:t xml:space="preserve">Negative-review velocity &gt; 3 per cycle on a single location.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color w:val="2d2d3a"/>
          <w:sz w:val="22"/>
          <w:szCs w:val="22"/>
        </w:rPr>
        <w:t xml:space="preserve">AEO citation rate drops to 0 on previously-cited money keyword.</w:t>
      </w:r>
    </w:p>
    <w:p>
      <w:pPr>
        <w:pStyle w:val="ListParagraph"/>
        <w:numPr>
          <w:ilvl w:val="0"/>
          <w:numId w:val="1"/>
        </w:numPr>
        <w:spacing w:after="40" w:before="40" w:line="300"/>
      </w:pPr>
      <w:r>
        <w:rPr>
          <w:rFonts w:ascii="Calibri" w:cs="Calibri" w:eastAsia="Calibri" w:hAnsi="Calibri"/>
          <w:color w:val="2d2d3a"/>
          <w:sz w:val="22"/>
          <w:szCs w:val="22"/>
        </w:rPr>
        <w:t xml:space="preserve">Knowledge Panel hijack (incorrect data displayed, especially for medical / legal verticals).</w:t>
      </w:r>
    </w:p>
    <w:p>
      <w:pPr>
        <w:spacing w:after="0" w:before="120"/>
      </w:pPr>
    </w:p>
    <w:p>
      <w:pPr>
        <w:pStyle w:val="Heading3"/>
        <w:spacing w:after="100" w:before="240" w:line="320"/>
      </w:pPr>
      <w:r>
        <w:rPr>
          <w:rFonts w:ascii="Calibri" w:cs="Calibri" w:eastAsia="Calibri" w:hAnsi="Calibri"/>
          <w:b/>
          <w:bCs/>
          <w:color w:val="e94560"/>
          <w:sz w:val="24"/>
          <w:szCs w:val="24"/>
        </w:rPr>
        <w:t xml:space="preserve">Quarterly Trigger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Every fourth cycle (≈ every 8 weeks), run a full v3 audit using the canonical template.</w:t>
      </w:r>
    </w:p>
    <w:p>
      <w:pPr>
        <w:spacing w:after="60" w:before="60" w:line="300"/>
        <w:ind w:left="360"/>
      </w:pPr>
      <w:r>
        <w:rPr>
          <w:rFonts w:ascii="Calibri" w:cs="Calibri" w:eastAsia="Calibri" w:hAnsi="Calibri"/>
          <w:color w:val="2d2d3a"/>
          <w:sz w:val="24"/>
          <w:szCs w:val="24"/>
        </w:rPr>
        <w:t xml:space="preserve">☐  </w:t>
      </w:r>
      <w:r>
        <w:rPr>
          <w:rFonts w:ascii="Calibri" w:cs="Calibri" w:eastAsia="Calibri" w:hAnsi="Calibri"/>
          <w:color w:val="2d2d3a"/>
          <w:sz w:val="22"/>
          <w:szCs w:val="22"/>
        </w:rPr>
        <w:t xml:space="preserve">Compare quarterly composite score against previous quarter. Document drivers of any movement &gt; 3 points.</w:t>
      </w:r>
    </w:p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APPENDIX A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Standing AEO Prompt Library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Run 8 of these per cycle, mixing intent types. Substitute brand-specific phrasing where shown.</w:t>
      </w:r>
    </w:p>
    <w:p>
      <w:pPr>
        <w:spacing w:after="0" w:before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Intent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Prompt template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Why this prompt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Head term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Best [category] in [city / region]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Highest-traffic generic query. Tests local pack + entity surface.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Head term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Top [category] companies [year]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Tests AI ranking memory and freshness.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Comparison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[Our brand] vs [top competitor]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Surfaces direct head-to-head framing.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Question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How much does [service] cost in [region]?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Tests price transparency content and FAQ schema.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Question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Is [service] worth it?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Tests review aggregation surface.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Specialty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[Niche subcategory] [city]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Tests long-tail authority and Phase 13 frame strength.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Trust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Who is the most trusted [category] in [region]?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Tests E-E-A-T entity scoring.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Buyer-journey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I am thinking about [pain point]; who should I talk to?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Tests conversational AI grounding in service-line content.</w:t>
            </w:r>
          </w:p>
        </w:tc>
      </w:tr>
    </w:tbl>
    <w:p>
      <w:pPr>
        <w:spacing w:after="0" w:before="120"/>
      </w:pPr>
    </w:p>
    <w:p>
      <w:pPr>
        <w:shd w:fill="f8f9fc" w:val="clear"/>
        <w:spacing w:after="80" w:before="80" w:line="300"/>
        <w:ind w:left="200" w:right="200"/>
      </w:pPr>
      <w:r>
        <w:rPr>
          <w:rFonts w:ascii="Calibri" w:cs="Calibri" w:eastAsia="Calibri" w:hAnsi="Calibri"/>
          <w:b/>
          <w:bCs/>
          <w:color w:val="e94560"/>
          <w:sz w:val="20"/>
          <w:szCs w:val="20"/>
        </w:rPr>
        <w:t xml:space="preserve">Recording: </w:t>
      </w:r>
      <w:r>
        <w:rPr>
          <w:rFonts w:ascii="Calibri" w:cs="Calibri" w:eastAsia="Calibri" w:hAnsi="Calibri"/>
          <w:i/>
          <w:iCs/>
          <w:color w:val="2d2d3a"/>
          <w:sz w:val="20"/>
          <w:szCs w:val="20"/>
        </w:rPr>
        <w:t xml:space="preserve">Capture engine, exact prompt run, brand cited (Y / Partial / N), position in answer, top competitor cited, and a one-line note on why the result moved (if it did). Save the transcript when possible.</w:t>
      </w:r>
    </w:p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APPENDIX B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Tooling Inventory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Tools used during the bi-weekly cycle, by section.</w:t>
      </w:r>
    </w:p>
    <w:p>
      <w:pPr>
        <w:spacing w:after="0" w:before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When in cycle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Google Search Console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Index coverage, query performance, CWV field data, manual actions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Sections 1, 3, 4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Bing Webmaster Tools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Bing index coverage, IndexNow status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Section 3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Google Analytics 4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Organic landing, conversions, AI referral channel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Sections 4, 7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PageSpeed Insights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Lab + field CWV per priority URL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Section 3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Schema.org validator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Schema validity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Section 2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Google Rich Results Test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Rich-result eligibility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Section 2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Brave / DuckDuckGo SERPs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Rank checking without Google personalization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Sections 4, 7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ChatGPT / Perplexity / AI Overviews / Claude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Live AEO citation matrix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Section 7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Ahrefs / Semrush (when available)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Backlink delta, keyword universe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Sections 4, 6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Local Falcon / GBP Insights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Local pack + GBP performance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Section 5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curl + Puppeteer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WAF probe, parsed-DOM verification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Sections 3, 9</w:t>
            </w:r>
          </w:p>
        </w:tc>
      </w:tr>
      <w:tr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Cloudflare dashboard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CDN hit rate, origin error rate</w:t>
            </w:r>
          </w:p>
        </w:tc>
        <w:tc>
          <w:tcPr>
            <w:tcW w:type="pct" w:w="33.333333333333336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Section 3</w:t>
            </w:r>
          </w:p>
        </w:tc>
      </w:tr>
    </w:tbl>
    <w:p>
      <w:r>
        <w:br w:type="page"/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e94560"/>
          <w:spacing w:val="60"/>
          <w:sz w:val="18"/>
          <w:szCs w:val="18"/>
        </w:rPr>
        <w:t xml:space="preserve">APPENDIX C</w:t>
      </w:r>
    </w:p>
    <w:p>
      <w:pPr>
        <w:pStyle w:val="Heading1"/>
        <w:pBdr>
          <w:bottom w:val="single" w:color="e94560" w:sz="18" w:space="4"/>
        </w:pBdr>
        <w:spacing w:after="200" w:before="360" w:line="360"/>
      </w:pPr>
      <w:r>
        <w:rPr>
          <w:rFonts w:ascii="Calibri" w:cs="Calibri" w:eastAsia="Calibri" w:hAnsi="Calibri"/>
          <w:b/>
          <w:bCs/>
          <w:color w:val="1a1a2e"/>
          <w:sz w:val="36"/>
          <w:szCs w:val="36"/>
        </w:rPr>
        <w:t xml:space="preserve">Cycle Quick-Reference Scorecard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6b7b"/>
          <w:sz w:val="22"/>
          <w:szCs w:val="22"/>
        </w:rPr>
        <w:t xml:space="preserve">Optional one-page summary the auditor fills at the end of each cycle. Useful for trend-tracking.</w:t>
      </w:r>
    </w:p>
    <w:p>
      <w:pPr>
        <w:spacing w:after="0" w:before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Pillar</w:t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Score (0–10)</w:t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Δ vs prior</w:t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Top action this cycle</w:t>
            </w:r>
          </w:p>
        </w:tc>
      </w:tr>
      <w:tr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On-Page SEO</w:t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Schema / AEO</w:t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Technical Health</w:t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Content Depth</w:t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Multi-Location / i18n</w:t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E-E-A-T</w:t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AI Search Visibility</w:t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>Image &amp; Media</w:t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tcBorders>
              <w:top w:val="single" w:color="e2e2ea" w:sz="4"/>
              <w:left w:val="single" w:color="e2e2ea" w:sz="4"/>
              <w:bottom w:val="single" w:color="e2e2ea" w:sz="4"/>
              <w:right w:val="single" w:color="e2e2ea" w:sz="4"/>
            </w:tcBorders>
            <w:shd w:fill="f8f9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d2d3a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120"/>
      </w:pPr>
    </w:p>
    <w:p>
      <w:pPr>
        <w:spacing w:after="80" w:before="80" w:line="32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2d2d3a"/>
          <w:sz w:val="22"/>
          <w:szCs w:val="22"/>
        </w:rPr>
        <w:t xml:space="preserve">Composite (auto-computed from pillar average × 10):  _____ / 100   →   Grade:  _____</w:t>
      </w:r>
    </w:p>
    <w:p>
      <w:pPr>
        <w:spacing w:after="0" w:before="120"/>
      </w:pPr>
    </w:p>
    <w:p>
      <w:pPr>
        <w:spacing w:after="80" w:before="80" w:line="32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2d2d3a"/>
          <w:sz w:val="22"/>
          <w:szCs w:val="22"/>
        </w:rPr>
        <w:t xml:space="preserve">Auditor notes: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b7b"/>
          <w:sz w:val="22"/>
          <w:szCs w:val="22"/>
        </w:rPr>
        <w:t xml:space="preserve">________________________________________________________________________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b7b"/>
          <w:sz w:val="22"/>
          <w:szCs w:val="22"/>
        </w:rPr>
        <w:t xml:space="preserve">________________________________________________________________________</w:t>
      </w:r>
    </w:p>
    <w:p>
      <w:pPr>
        <w:spacing w:after="80" w:before="80" w:line="32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b7b"/>
          <w:sz w:val="22"/>
          <w:szCs w:val="22"/>
        </w:rPr>
        <w:t xml:space="preserve">________________________________________________________________________</w:t>
      </w:r>
    </w:p>
    <w:sectPr>
      <w:footerReference w:type="default" r:id="rId7"/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b6b7b"/>
        <w:sz w:val="16"/>
        <w:szCs w:val="16"/>
      </w:rPr>
      <w:t xml:space="preserve">Kaizen AI Lab · Bi-Weekly SEO/GEO Monitoring Checklist · v3.0 ·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Bi-Weekly Client SEO/GEO Monitoring Checklist</dc:title>
  <dc:subject>SEO / GEO / AEO Monitoring</dc:subject>
  <dc:creator>Kaizen AI Lab</dc:creator>
  <cp:keywords>SEO, GEO, AEO, checklist, audit, Kaizen</cp:keywords>
  <dc:description>Every-other-week monitoring routine for active client engagements.</dc:description>
  <cp:lastModifiedBy>Kaizen AI Lab</cp:lastModifiedBy>
  <cp:revision>1</cp:revision>
  <dcterms:created xsi:type="dcterms:W3CDTF">2026-06-08T17:50:02.997Z</dcterms:created>
  <dcterms:modified xsi:type="dcterms:W3CDTF">2026-06-08T17:50:02.998Z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